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楷体" w:hAnsi="楷体" w:eastAsia="楷体" w:cs="楷体_GB2312"/>
          <w:sz w:val="32"/>
          <w:szCs w:val="32"/>
        </w:rPr>
      </w:pPr>
      <w:bookmarkStart w:id="0" w:name="OLE_LINK43"/>
      <w:bookmarkStart w:id="1" w:name="OLE_LINK45"/>
      <w:bookmarkStart w:id="2" w:name="OLE_LINK44"/>
      <w:r>
        <w:rPr>
          <w:rFonts w:hint="eastAsia" w:ascii="楷体" w:hAnsi="楷体" w:eastAsia="楷体" w:cs="楷体_GB2312"/>
          <w:sz w:val="32"/>
          <w:szCs w:val="32"/>
        </w:rPr>
        <w:t>附件2</w:t>
      </w:r>
      <w:bookmarkEnd w:id="0"/>
      <w:bookmarkEnd w:id="1"/>
      <w:bookmarkEnd w:id="2"/>
    </w:p>
    <w:p>
      <w:pPr>
        <w:jc w:val="center"/>
        <w:rPr>
          <w:rFonts w:hint="eastAsia" w:ascii="方正小标宋简体" w:hAnsi="仿宋" w:eastAsia="方正小标宋简体" w:cs="Times New Roman"/>
          <w:spacing w:val="8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pacing w:val="8"/>
          <w:sz w:val="44"/>
          <w:szCs w:val="44"/>
        </w:rPr>
        <w:t>2021年参政议政课题经费报销要求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根据《民进湖南省委会参政议政调研课题管理办法》（修订稿）的规定和财务要求，调研过程中产生的发票请开具“民进湖南省委”抬头，信用代码号为11430000732875195J，机关地址是长沙市岳麓区潇湘中路70号。课题报销要求如下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1、自主课题的经费采取拨付制，课题经费为1万元，以稿酬费形式拨付，无需发票，由机关财务代缴个税。执笔人需按财务要求填写</w:t>
      </w:r>
      <w:bookmarkStart w:id="3" w:name="OLE_LINK32"/>
      <w:bookmarkStart w:id="4" w:name="OLE_LINK31"/>
      <w:bookmarkStart w:id="5" w:name="OLE_LINK27"/>
      <w:bookmarkStart w:id="6" w:name="OLE_LINK22"/>
      <w:bookmarkStart w:id="7" w:name="OLE_LINK21"/>
      <w:bookmarkStart w:id="8" w:name="OLE_LINK20"/>
      <w:r>
        <w:rPr>
          <w:rFonts w:hint="eastAsia" w:ascii="仿宋" w:hAnsi="仿宋" w:eastAsia="仿宋" w:cs="Times New Roman"/>
          <w:sz w:val="32"/>
          <w:szCs w:val="32"/>
        </w:rPr>
        <w:t>《自主课题稿酬费</w:t>
      </w:r>
      <w:r>
        <w:rPr>
          <w:rFonts w:ascii="仿宋" w:hAnsi="仿宋" w:eastAsia="仿宋" w:cs="Times New Roman"/>
          <w:sz w:val="32"/>
          <w:szCs w:val="32"/>
        </w:rPr>
        <w:t>分配</w:t>
      </w:r>
      <w:r>
        <w:rPr>
          <w:rFonts w:hint="eastAsia" w:ascii="仿宋" w:hAnsi="仿宋" w:eastAsia="仿宋" w:cs="Times New Roman"/>
          <w:sz w:val="32"/>
          <w:szCs w:val="32"/>
        </w:rPr>
        <w:t>表》</w:t>
      </w:r>
      <w:bookmarkEnd w:id="3"/>
      <w:bookmarkEnd w:id="4"/>
      <w:bookmarkEnd w:id="5"/>
      <w:r>
        <w:rPr>
          <w:rFonts w:hint="eastAsia" w:ascii="仿宋" w:hAnsi="仿宋" w:eastAsia="仿宋" w:cs="Times New Roman"/>
          <w:sz w:val="32"/>
          <w:szCs w:val="32"/>
        </w:rPr>
        <w:t>及《</w:t>
      </w:r>
      <w:bookmarkStart w:id="9" w:name="OLE_LINK35"/>
      <w:bookmarkStart w:id="10" w:name="OLE_LINK36"/>
      <w:r>
        <w:rPr>
          <w:rFonts w:hint="eastAsia" w:ascii="仿宋" w:hAnsi="仿宋" w:eastAsia="仿宋" w:cs="Times New Roman"/>
          <w:sz w:val="32"/>
          <w:szCs w:val="32"/>
        </w:rPr>
        <w:t>民进湖南省委会2021年课题经费支付汇总表》</w:t>
      </w:r>
      <w:bookmarkEnd w:id="6"/>
      <w:bookmarkEnd w:id="7"/>
      <w:bookmarkEnd w:id="8"/>
      <w:bookmarkEnd w:id="9"/>
      <w:bookmarkEnd w:id="10"/>
      <w:r>
        <w:rPr>
          <w:rFonts w:hint="eastAsia" w:ascii="仿宋" w:hAnsi="仿宋" w:eastAsia="仿宋" w:cs="Times New Roman"/>
          <w:sz w:val="32"/>
          <w:szCs w:val="32"/>
        </w:rPr>
        <w:t>，交由省委会</w:t>
      </w:r>
      <w:r>
        <w:rPr>
          <w:rFonts w:hint="eastAsia" w:ascii="仿宋" w:hAnsi="仿宋" w:eastAsia="仿宋" w:cs="Times New Roman"/>
          <w:b/>
          <w:sz w:val="32"/>
          <w:szCs w:val="32"/>
        </w:rPr>
        <w:t>参政议政处</w:t>
      </w:r>
      <w:r>
        <w:rPr>
          <w:rFonts w:hint="eastAsia" w:ascii="仿宋" w:hAnsi="仿宋" w:eastAsia="仿宋" w:cs="Times New Roman"/>
          <w:sz w:val="32"/>
          <w:szCs w:val="32"/>
        </w:rPr>
        <w:t>会同办公室负责处理报销事宜。表格</w:t>
      </w:r>
      <w:r>
        <w:rPr>
          <w:rFonts w:ascii="仿宋" w:hAnsi="仿宋" w:eastAsia="仿宋" w:cs="Times New Roman"/>
          <w:sz w:val="32"/>
          <w:szCs w:val="32"/>
        </w:rPr>
        <w:t>发至参政议政处邮</w:t>
      </w:r>
      <w:r>
        <w:rPr>
          <w:rFonts w:ascii="仿宋" w:hAnsi="仿宋" w:eastAsia="仿宋" w:cs="Times New Roman"/>
          <w:color w:val="000000"/>
          <w:sz w:val="32"/>
          <w:szCs w:val="32"/>
        </w:rPr>
        <w:t>箱(</w:t>
      </w:r>
      <w:r>
        <w:rPr>
          <w:rFonts w:ascii="仿宋" w:hAnsi="仿宋" w:eastAsia="仿宋" w:cs="Times New Roman"/>
          <w:color w:val="000000"/>
          <w:sz w:val="32"/>
          <w:szCs w:val="32"/>
        </w:rPr>
        <w:fldChar w:fldCharType="begin"/>
      </w:r>
      <w:r>
        <w:rPr>
          <w:rFonts w:ascii="仿宋" w:hAnsi="仿宋" w:eastAsia="仿宋" w:cs="Times New Roman"/>
          <w:color w:val="000000"/>
          <w:sz w:val="32"/>
          <w:szCs w:val="32"/>
        </w:rPr>
        <w:instrText xml:space="preserve"> HYPERLINK "mailto:canzhengyizheng@126.com" </w:instrText>
      </w:r>
      <w:r>
        <w:rPr>
          <w:rFonts w:ascii="仿宋" w:hAnsi="仿宋" w:eastAsia="仿宋" w:cs="Times New Roman"/>
          <w:color w:val="000000"/>
          <w:sz w:val="32"/>
          <w:szCs w:val="32"/>
        </w:rPr>
        <w:fldChar w:fldCharType="separate"/>
      </w:r>
      <w:r>
        <w:rPr>
          <w:rStyle w:val="4"/>
          <w:rFonts w:ascii="仿宋" w:hAnsi="仿宋" w:eastAsia="仿宋"/>
          <w:color w:val="000000"/>
          <w:sz w:val="32"/>
          <w:szCs w:val="32"/>
          <w:u w:val="none"/>
        </w:rPr>
        <w:t>canzhengyizheng@126.com</w:t>
      </w:r>
      <w:r>
        <w:rPr>
          <w:rFonts w:ascii="仿宋" w:hAnsi="仿宋" w:eastAsia="仿宋" w:cs="Times New Roman"/>
          <w:color w:val="000000"/>
          <w:sz w:val="32"/>
          <w:szCs w:val="32"/>
        </w:rPr>
        <w:fldChar w:fldCharType="end"/>
      </w:r>
      <w:r>
        <w:rPr>
          <w:rFonts w:ascii="仿宋" w:hAnsi="仿宋" w:eastAsia="仿宋" w:cs="Times New Roman"/>
          <w:color w:val="000000"/>
          <w:sz w:val="32"/>
          <w:szCs w:val="32"/>
        </w:rPr>
        <w:t>)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报销后课题稿酬费（税后）统一转账给执笔人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2、重点课题采取实报实销制，课题经费的60%部分凭发票据实报销，40%部分作为劳务费</w:t>
      </w:r>
      <w:bookmarkStart w:id="11" w:name="OLE_LINK2"/>
      <w:bookmarkStart w:id="12" w:name="OLE_LINK1"/>
      <w:r>
        <w:rPr>
          <w:rFonts w:hint="eastAsia" w:ascii="仿宋" w:hAnsi="仿宋" w:eastAsia="仿宋" w:cs="Times New Roman"/>
          <w:sz w:val="32"/>
          <w:szCs w:val="32"/>
        </w:rPr>
        <w:t>付给各课题组成员，劳务费无需发票，个税由机关财务代缴。请执笔人按财务要求填写</w:t>
      </w:r>
      <w:bookmarkStart w:id="13" w:name="OLE_LINK33"/>
      <w:bookmarkStart w:id="14" w:name="OLE_LINK34"/>
      <w:r>
        <w:rPr>
          <w:rFonts w:hint="eastAsia" w:ascii="仿宋" w:hAnsi="仿宋" w:eastAsia="仿宋" w:cs="Times New Roman"/>
          <w:sz w:val="32"/>
          <w:szCs w:val="32"/>
        </w:rPr>
        <w:t>《重点课题劳务费</w:t>
      </w:r>
      <w:r>
        <w:rPr>
          <w:rFonts w:ascii="仿宋" w:hAnsi="仿宋" w:eastAsia="仿宋" w:cs="Times New Roman"/>
          <w:sz w:val="32"/>
          <w:szCs w:val="32"/>
        </w:rPr>
        <w:t>分配</w:t>
      </w:r>
      <w:r>
        <w:rPr>
          <w:rFonts w:hint="eastAsia" w:ascii="仿宋" w:hAnsi="仿宋" w:eastAsia="仿宋" w:cs="Times New Roman"/>
          <w:sz w:val="32"/>
          <w:szCs w:val="32"/>
        </w:rPr>
        <w:t>表》</w:t>
      </w:r>
      <w:bookmarkEnd w:id="13"/>
      <w:bookmarkEnd w:id="14"/>
      <w:r>
        <w:rPr>
          <w:rFonts w:hint="eastAsia" w:ascii="仿宋" w:hAnsi="仿宋" w:eastAsia="仿宋" w:cs="Times New Roman"/>
          <w:sz w:val="32"/>
          <w:szCs w:val="32"/>
        </w:rPr>
        <w:t>及《民进湖南省委会2021年课题经费支付汇总表》，</w:t>
      </w:r>
      <w:bookmarkEnd w:id="11"/>
      <w:bookmarkEnd w:id="12"/>
      <w:r>
        <w:rPr>
          <w:rFonts w:ascii="仿宋" w:hAnsi="仿宋" w:eastAsia="仿宋" w:cs="Times New Roman"/>
          <w:sz w:val="32"/>
          <w:szCs w:val="32"/>
        </w:rPr>
        <w:t>发给专委会秘书长，</w:t>
      </w:r>
      <w:r>
        <w:rPr>
          <w:rFonts w:hint="eastAsia" w:ascii="仿宋" w:hAnsi="仿宋" w:eastAsia="仿宋" w:cs="Times New Roman"/>
          <w:sz w:val="32"/>
          <w:szCs w:val="32"/>
        </w:rPr>
        <w:t>由省委会</w:t>
      </w:r>
      <w:r>
        <w:rPr>
          <w:rFonts w:hint="eastAsia" w:ascii="仿宋" w:hAnsi="仿宋" w:eastAsia="仿宋" w:cs="Times New Roman"/>
          <w:b/>
          <w:sz w:val="32"/>
          <w:szCs w:val="32"/>
        </w:rPr>
        <w:t>对口联系处室</w:t>
      </w:r>
      <w:r>
        <w:rPr>
          <w:rFonts w:hint="eastAsia" w:ascii="仿宋" w:hAnsi="仿宋" w:eastAsia="仿宋" w:cs="Times New Roman"/>
          <w:sz w:val="32"/>
          <w:szCs w:val="32"/>
        </w:rPr>
        <w:t>会同办公室负责处理报销事宜。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3、</w:t>
      </w:r>
      <w:r>
        <w:rPr>
          <w:rFonts w:ascii="仿宋" w:hAnsi="仿宋" w:eastAsia="仿宋" w:cs="Times New Roman"/>
          <w:sz w:val="32"/>
          <w:szCs w:val="32"/>
        </w:rPr>
        <w:t>自主课题</w:t>
      </w:r>
      <w:r>
        <w:rPr>
          <w:rFonts w:hint="eastAsia" w:ascii="仿宋" w:hAnsi="仿宋" w:eastAsia="仿宋" w:cs="Times New Roman"/>
          <w:sz w:val="32"/>
          <w:szCs w:val="32"/>
        </w:rPr>
        <w:t>稿酬</w:t>
      </w:r>
      <w:r>
        <w:rPr>
          <w:rFonts w:ascii="仿宋" w:hAnsi="仿宋" w:eastAsia="仿宋" w:cs="Times New Roman"/>
          <w:sz w:val="32"/>
          <w:szCs w:val="32"/>
        </w:rPr>
        <w:t>费和</w:t>
      </w:r>
      <w:r>
        <w:rPr>
          <w:rFonts w:hint="eastAsia" w:ascii="仿宋" w:hAnsi="仿宋" w:eastAsia="仿宋" w:cs="Times New Roman"/>
          <w:sz w:val="32"/>
          <w:szCs w:val="32"/>
        </w:rPr>
        <w:t>重点课题</w:t>
      </w:r>
      <w:r>
        <w:rPr>
          <w:rFonts w:ascii="仿宋" w:hAnsi="仿宋" w:eastAsia="仿宋" w:cs="Times New Roman"/>
          <w:sz w:val="32"/>
          <w:szCs w:val="32"/>
        </w:rPr>
        <w:t>劳务费由</w:t>
      </w:r>
      <w:r>
        <w:rPr>
          <w:rFonts w:hint="eastAsia" w:ascii="仿宋" w:hAnsi="仿宋" w:eastAsia="仿宋" w:cs="Times New Roman"/>
          <w:sz w:val="32"/>
          <w:szCs w:val="32"/>
        </w:rPr>
        <w:t>课题负责人在年初课题组成员名单范围内进行分配，自主课题稿酬费（税后）由执笔人转账给课题组成员，并在</w:t>
      </w:r>
      <w:r>
        <w:rPr>
          <w:rFonts w:hint="eastAsia" w:ascii="仿宋" w:hAnsi="仿宋" w:eastAsia="仿宋" w:cs="Times New Roman"/>
          <w:b/>
          <w:sz w:val="32"/>
          <w:szCs w:val="32"/>
        </w:rPr>
        <w:t>2022年1月前提交正式转账凭证</w:t>
      </w:r>
      <w:r>
        <w:rPr>
          <w:rFonts w:hint="eastAsia" w:ascii="仿宋" w:hAnsi="仿宋" w:eastAsia="仿宋" w:cs="Times New Roman"/>
          <w:sz w:val="32"/>
          <w:szCs w:val="32"/>
        </w:rPr>
        <w:t>到参政议政处，联系人毛华。重点课题劳务费（税后）由财务直接</w:t>
      </w:r>
      <w:r>
        <w:rPr>
          <w:rFonts w:ascii="仿宋" w:hAnsi="仿宋" w:eastAsia="仿宋" w:cs="Times New Roman"/>
          <w:sz w:val="32"/>
          <w:szCs w:val="32"/>
        </w:rPr>
        <w:t>转账给课题组成员。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、请各课题组严格遵守财经纪律，据实报销已产生的调研费用。根据财务规定，按照无调研不成果的原则，没有调研相关费用的，将不予报销劳务费。根据《国家社会科学基金项目资金管理办法》，参考相关单位课题开支项目，并与财务沟通后，报账制课题60%调研费产生的开支范围如下：</w:t>
      </w:r>
    </w:p>
    <w:p>
      <w:pPr>
        <w:pStyle w:val="5"/>
        <w:spacing w:line="56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1、资料费：</w:t>
      </w:r>
      <w:r>
        <w:rPr>
          <w:rFonts w:hint="eastAsia" w:ascii="仿宋" w:hAnsi="仿宋" w:eastAsia="仿宋"/>
          <w:sz w:val="32"/>
          <w:szCs w:val="32"/>
        </w:rPr>
        <w:t>包括图书资料购置、复印打印、文献检索、资料整理制作等；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2、数据采集与专家咨询费：</w:t>
      </w:r>
      <w:r>
        <w:rPr>
          <w:rFonts w:hint="eastAsia" w:ascii="仿宋" w:hAnsi="仿宋" w:eastAsia="仿宋" w:cs="Times New Roman"/>
          <w:sz w:val="32"/>
          <w:szCs w:val="32"/>
        </w:rPr>
        <w:t>调查访谈、数据采集购买、数据分析、软件技术服务购买、专家技术咨询服务购买等；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3、会议费：</w:t>
      </w:r>
      <w:r>
        <w:rPr>
          <w:rFonts w:hint="eastAsia" w:ascii="仿宋" w:hAnsi="仿宋" w:eastAsia="仿宋" w:cs="Times New Roman"/>
          <w:sz w:val="32"/>
          <w:szCs w:val="32"/>
        </w:rPr>
        <w:t>会议场地租用、会议人员就餐住宿、评审人员劳务费（每人单次800元以内），有相应的会议文件、签到表配套；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4、调研差旅费：</w:t>
      </w:r>
      <w:r>
        <w:rPr>
          <w:rFonts w:hint="eastAsia" w:ascii="仿宋" w:hAnsi="仿宋" w:eastAsia="仿宋" w:cs="Times New Roman"/>
          <w:sz w:val="32"/>
          <w:szCs w:val="32"/>
        </w:rPr>
        <w:t>外出调研在当地产生的实际住宿费（按照《湖南省省直机关差旅费管理办法》住宿标准，需附酒店清单）、餐饮费（按照财政规定100元/1天/1人的餐饮标准，需附支付凭证），有相应的调研方案配套（时间地点和人数要符合真实调研情况），且不能领取差旅补助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5、交通工具费：</w:t>
      </w:r>
      <w:r>
        <w:rPr>
          <w:rFonts w:hint="eastAsia" w:ascii="仿宋" w:hAnsi="仿宋" w:eastAsia="仿宋" w:cs="Times New Roman"/>
          <w:sz w:val="32"/>
          <w:szCs w:val="32"/>
        </w:rPr>
        <w:t>乘坐公共交通工具的票据、租用社会车辆费用（不能租用私人车辆，必须租用正规租车公司车辆，有发票和租车协议，具体行程单要与调研方案配套）；</w:t>
      </w:r>
    </w:p>
    <w:p>
      <w:pPr>
        <w:spacing w:line="560" w:lineRule="exact"/>
        <w:ind w:firstLine="640" w:firstLineChars="200"/>
        <w:rPr>
          <w:rFonts w:hint="eastAsia" w:ascii="方正小标宋简体" w:hAnsi="仿宋" w:eastAsia="仿宋"/>
          <w:b/>
          <w:spacing w:val="8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Times New Roman"/>
          <w:sz w:val="32"/>
          <w:szCs w:val="32"/>
        </w:rPr>
        <w:t>6、易耗品等设备购置：</w:t>
      </w:r>
      <w:r>
        <w:rPr>
          <w:rFonts w:hint="eastAsia" w:ascii="仿宋" w:hAnsi="仿宋" w:eastAsia="仿宋" w:cs="Times New Roman"/>
          <w:sz w:val="32"/>
          <w:szCs w:val="32"/>
        </w:rPr>
        <w:t>比如U盘、硒鼓、打印纸、移动硬盘（属国有资产需入库）、文件夹文件袋等小型用品用于调研需要，数量必须严格控制，与调研情况符合，不能采购固定资产类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。</w:t>
      </w:r>
      <w:bookmarkStart w:id="15" w:name="_GoBack"/>
      <w:bookmarkEnd w:id="15"/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E6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99"/>
    <w:rPr>
      <w:rFonts w:ascii="Calibri" w:hAnsi="Calibri" w:eastAsia="宋体" w:cs="Times New Roman"/>
      <w:color w:val="0000FF"/>
      <w:u w:val="single"/>
    </w:rPr>
  </w:style>
  <w:style w:type="paragraph" w:styleId="5">
    <w:name w:val="List Paragraph"/>
    <w:qFormat/>
    <w:uiPriority w:val="0"/>
    <w:pPr>
      <w:widowControl w:val="0"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dudu</cp:lastModifiedBy>
  <dcterms:modified xsi:type="dcterms:W3CDTF">2021-11-16T03:59:59Z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C61D2F85F64D491B8216465850C3A3CD</vt:lpwstr>
  </property>
</Properties>
</file>