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FEBEBF">
      <w:pPr>
        <w:widowControl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附件1：</w:t>
      </w:r>
    </w:p>
    <w:p w14:paraId="0E6C80E4">
      <w:pPr>
        <w:spacing w:before="156" w:beforeLines="50"/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2024年民进省委会年度参政议政调研课题</w:t>
      </w:r>
    </w:p>
    <w:p w14:paraId="317BF661">
      <w:pPr>
        <w:jc w:val="center"/>
        <w:rPr>
          <w:rFonts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选题参考</w:t>
      </w:r>
    </w:p>
    <w:p w14:paraId="7BA7A700">
      <w:pPr>
        <w:rPr>
          <w:rFonts w:ascii="方正小标宋简体" w:eastAsia="方正小标宋简体"/>
          <w:sz w:val="40"/>
          <w:szCs w:val="40"/>
        </w:rPr>
      </w:pPr>
    </w:p>
    <w:p w14:paraId="69BE9AF1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一、重点选题</w:t>
      </w:r>
    </w:p>
    <w:p w14:paraId="504AF7C6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、省委汇报会</w:t>
      </w:r>
      <w:r>
        <w:rPr>
          <w:rFonts w:ascii="仿宋" w:hAnsi="仿宋" w:eastAsia="仿宋"/>
          <w:sz w:val="32"/>
          <w:szCs w:val="32"/>
        </w:rPr>
        <w:t>选题：积极应对人口变化形势，优化教育资源配置——关于加快推进省属高校“双一流”建设的建议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67105A2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</w:t>
      </w:r>
      <w:r>
        <w:rPr>
          <w:rFonts w:hint="eastAsia" w:ascii="仿宋" w:hAnsi="仿宋" w:eastAsia="仿宋"/>
          <w:sz w:val="32"/>
          <w:szCs w:val="32"/>
        </w:rPr>
        <w:t>、报省委</w:t>
      </w:r>
      <w:r>
        <w:rPr>
          <w:rFonts w:ascii="仿宋" w:hAnsi="仿宋" w:eastAsia="仿宋"/>
          <w:sz w:val="32"/>
          <w:szCs w:val="32"/>
        </w:rPr>
        <w:t>“直通车”选题：深化文化与科技融合，推动我省文化产业高质量发展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79600B65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</w:t>
      </w:r>
      <w:r>
        <w:rPr>
          <w:rFonts w:hint="eastAsia" w:ascii="仿宋" w:hAnsi="仿宋" w:eastAsia="仿宋"/>
          <w:sz w:val="32"/>
          <w:szCs w:val="32"/>
        </w:rPr>
        <w:t>、报省委</w:t>
      </w:r>
      <w:r>
        <w:rPr>
          <w:rFonts w:ascii="仿宋" w:hAnsi="仿宋" w:eastAsia="仿宋"/>
          <w:sz w:val="32"/>
          <w:szCs w:val="32"/>
        </w:rPr>
        <w:t>“直通车”选题：生态环境导向的开发模式创新对策研究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74A2117B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二、重点工作支撑课题</w:t>
      </w:r>
    </w:p>
    <w:p w14:paraId="08859C30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4、深化高校育人模式改革，提高人才自主培养水平（配合全国政协来湘调研和民进中央高等教育发展论坛，列题3</w:t>
      </w:r>
      <w:r>
        <w:rPr>
          <w:rFonts w:ascii="仿宋" w:hAnsi="仿宋" w:eastAsia="仿宋"/>
          <w:sz w:val="32"/>
          <w:szCs w:val="32"/>
        </w:rPr>
        <w:t>-4</w:t>
      </w:r>
      <w:r>
        <w:rPr>
          <w:rFonts w:hint="eastAsia" w:ascii="仿宋" w:hAnsi="仿宋" w:eastAsia="仿宋"/>
          <w:sz w:val="32"/>
          <w:szCs w:val="32"/>
        </w:rPr>
        <w:t>个，5月中旬完成调研）；</w:t>
      </w:r>
    </w:p>
    <w:p w14:paraId="08C5A4B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5</w:t>
      </w:r>
      <w:r>
        <w:rPr>
          <w:rFonts w:hint="eastAsia" w:ascii="仿宋" w:hAnsi="仿宋" w:eastAsia="仿宋"/>
          <w:sz w:val="32"/>
          <w:szCs w:val="32"/>
        </w:rPr>
        <w:t>、推进体教融合，促进学生健康成长（配合省政协民主监督，列题3</w:t>
      </w:r>
      <w:r>
        <w:rPr>
          <w:rFonts w:ascii="仿宋" w:hAnsi="仿宋" w:eastAsia="仿宋"/>
          <w:sz w:val="32"/>
          <w:szCs w:val="32"/>
        </w:rPr>
        <w:t>-4</w:t>
      </w:r>
      <w:r>
        <w:rPr>
          <w:rFonts w:hint="eastAsia" w:ascii="仿宋" w:hAnsi="仿宋" w:eastAsia="仿宋"/>
          <w:sz w:val="32"/>
          <w:szCs w:val="32"/>
        </w:rPr>
        <w:t>个，6月底前完成调研）；</w:t>
      </w:r>
    </w:p>
    <w:p w14:paraId="214C108A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6</w:t>
      </w:r>
      <w:r>
        <w:rPr>
          <w:rFonts w:hint="eastAsia" w:ascii="仿宋" w:hAnsi="仿宋" w:eastAsia="仿宋"/>
          <w:sz w:val="32"/>
          <w:szCs w:val="32"/>
        </w:rPr>
        <w:t>、规范涉企行政执法，优化法治化营商环境（配合省政协民主监督，列题1</w:t>
      </w:r>
      <w:r>
        <w:rPr>
          <w:rFonts w:ascii="仿宋" w:hAnsi="仿宋" w:eastAsia="仿宋"/>
          <w:sz w:val="32"/>
          <w:szCs w:val="32"/>
        </w:rPr>
        <w:t>-2</w:t>
      </w:r>
      <w:r>
        <w:rPr>
          <w:rFonts w:hint="eastAsia" w:ascii="仿宋" w:hAnsi="仿宋" w:eastAsia="仿宋"/>
          <w:sz w:val="32"/>
          <w:szCs w:val="32"/>
        </w:rPr>
        <w:t>个）；</w:t>
      </w:r>
    </w:p>
    <w:p w14:paraId="7E2349B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7、加强美丽河湖保护与建设，以高品质生态环境支撑高质量发展（民进中央长江保护论坛发言选题，5月底前完成调研）；</w:t>
      </w:r>
    </w:p>
    <w:p w14:paraId="2AD095B4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三、第二届科教创新论坛和教育专题常委会</w:t>
      </w:r>
    </w:p>
    <w:p w14:paraId="1F0BDD27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8、提高研发投入、高新技术产业对经济增长的贡献率；</w:t>
      </w:r>
    </w:p>
    <w:p w14:paraId="252FF4F1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9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打破高校科研成果转化率偏低和“墙内开花墙外香”的现象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3BD477E0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10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激发科技人员创新创造活力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61079A4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1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提升制度集成创新能级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7BB75236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12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推动优质教育资源在全省均衡布局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42D9E471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13</w:t>
      </w:r>
      <w:r>
        <w:rPr>
          <w:rFonts w:hint="eastAsia" w:ascii="仿宋" w:hAnsi="仿宋" w:eastAsia="仿宋"/>
          <w:sz w:val="32"/>
          <w:szCs w:val="32"/>
        </w:rPr>
        <w:t>、强化拔尖创新人才培养，促进教育科技人才一体化发展；</w:t>
      </w:r>
    </w:p>
    <w:p w14:paraId="3C1DA296">
      <w:pPr>
        <w:spacing w:line="62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</w:t>
      </w:r>
      <w:r>
        <w:rPr>
          <w:rFonts w:ascii="仿宋" w:hAnsi="仿宋" w:eastAsia="仿宋"/>
          <w:sz w:val="32"/>
          <w:szCs w:val="32"/>
        </w:rPr>
        <w:t>4</w:t>
      </w:r>
      <w:r>
        <w:rPr>
          <w:rFonts w:hint="eastAsia" w:ascii="仿宋" w:hAnsi="仿宋" w:eastAsia="仿宋"/>
          <w:sz w:val="32"/>
          <w:szCs w:val="32"/>
        </w:rPr>
        <w:t>、义务教育教学改革试点研究；</w:t>
      </w:r>
    </w:p>
    <w:p w14:paraId="57F31EA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15</w:t>
      </w:r>
      <w:r>
        <w:rPr>
          <w:rFonts w:hint="eastAsia" w:ascii="仿宋" w:hAnsi="仿宋" w:eastAsia="仿宋"/>
          <w:sz w:val="32"/>
          <w:szCs w:val="32"/>
        </w:rPr>
        <w:t>、强化企业科技创新主体地位；</w:t>
      </w:r>
    </w:p>
    <w:p w14:paraId="24EC7F95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16</w:t>
      </w:r>
      <w:r>
        <w:rPr>
          <w:rFonts w:hint="eastAsia" w:ascii="仿宋" w:hAnsi="仿宋" w:eastAsia="仿宋"/>
          <w:sz w:val="32"/>
          <w:szCs w:val="32"/>
        </w:rPr>
        <w:t>、解决科技创新和产业发展“两张皮”困局；</w:t>
      </w:r>
    </w:p>
    <w:p w14:paraId="1FE73B77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17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深化创新型人才发展体制机制改革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04E110E3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四、文化出版旅游</w:t>
      </w:r>
    </w:p>
    <w:p w14:paraId="495180F9">
      <w:pPr>
        <w:spacing w:line="600" w:lineRule="exac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18</w:t>
      </w:r>
      <w:r>
        <w:rPr>
          <w:rFonts w:hint="eastAsia" w:ascii="仿宋" w:hAnsi="仿宋" w:eastAsia="仿宋"/>
          <w:sz w:val="32"/>
          <w:szCs w:val="32"/>
        </w:rPr>
        <w:t>、加强习近平文化思想的大众化传播；</w:t>
      </w:r>
    </w:p>
    <w:p w14:paraId="56CDA640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19</w:t>
      </w:r>
      <w:r>
        <w:rPr>
          <w:rFonts w:hint="eastAsia" w:ascii="仿宋" w:hAnsi="仿宋" w:eastAsia="仿宋"/>
          <w:sz w:val="32"/>
          <w:szCs w:val="32"/>
        </w:rPr>
        <w:t>、推动城乡建设中的历史文化遗产保护传承；</w:t>
      </w:r>
    </w:p>
    <w:p w14:paraId="2A6FBE4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</w:t>
      </w:r>
      <w:r>
        <w:rPr>
          <w:rFonts w:hint="eastAsia" w:ascii="仿宋" w:hAnsi="仿宋" w:eastAsia="仿宋"/>
          <w:sz w:val="32"/>
          <w:szCs w:val="32"/>
        </w:rPr>
        <w:t>、积极培育文娱旅游消费新增长点；</w:t>
      </w:r>
    </w:p>
    <w:p w14:paraId="1BE3087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21</w:t>
      </w:r>
      <w:r>
        <w:rPr>
          <w:rFonts w:hint="eastAsia" w:ascii="仿宋" w:hAnsi="仿宋" w:eastAsia="仿宋"/>
          <w:sz w:val="32"/>
          <w:szCs w:val="32"/>
        </w:rPr>
        <w:t>、建好用好长江国家文化公园；</w:t>
      </w:r>
    </w:p>
    <w:p w14:paraId="6FC80422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22</w:t>
      </w:r>
      <w:r>
        <w:rPr>
          <w:rFonts w:hint="eastAsia" w:ascii="仿宋" w:hAnsi="仿宋" w:eastAsia="仿宋"/>
          <w:sz w:val="32"/>
          <w:szCs w:val="32"/>
        </w:rPr>
        <w:t>、推动实体书店创新发展；</w:t>
      </w:r>
    </w:p>
    <w:p w14:paraId="67537CD1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23</w:t>
      </w:r>
      <w:r>
        <w:rPr>
          <w:rFonts w:hint="eastAsia" w:ascii="仿宋" w:hAnsi="仿宋" w:eastAsia="仿宋"/>
          <w:sz w:val="32"/>
          <w:szCs w:val="32"/>
        </w:rPr>
        <w:t>、推动数字化转型背景下出版传媒业深度融合发展；</w:t>
      </w:r>
    </w:p>
    <w:p w14:paraId="08E8507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24</w:t>
      </w:r>
      <w:r>
        <w:rPr>
          <w:rFonts w:hint="eastAsia" w:ascii="仿宋" w:hAnsi="仿宋" w:eastAsia="仿宋"/>
          <w:sz w:val="32"/>
          <w:szCs w:val="32"/>
        </w:rPr>
        <w:t>、加强新媒体法治化管理；</w:t>
      </w:r>
    </w:p>
    <w:p w14:paraId="5364C132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五、生态环境和水利</w:t>
      </w:r>
    </w:p>
    <w:p w14:paraId="5B5489A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25</w:t>
      </w:r>
      <w:r>
        <w:rPr>
          <w:rFonts w:hint="eastAsia" w:ascii="仿宋" w:hAnsi="仿宋" w:eastAsia="仿宋"/>
          <w:sz w:val="32"/>
          <w:szCs w:val="32"/>
        </w:rPr>
        <w:t>、实施全面节约战略，加快构建废弃物循环利用体系；</w:t>
      </w:r>
    </w:p>
    <w:p w14:paraId="5532D557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26</w:t>
      </w:r>
      <w:r>
        <w:rPr>
          <w:rFonts w:hint="eastAsia" w:ascii="仿宋" w:hAnsi="仿宋" w:eastAsia="仿宋"/>
          <w:sz w:val="32"/>
          <w:szCs w:val="32"/>
        </w:rPr>
        <w:t>、持续推进新污染物协同治理和环境风险管控；</w:t>
      </w:r>
    </w:p>
    <w:p w14:paraId="1A2F517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27</w:t>
      </w:r>
      <w:r>
        <w:rPr>
          <w:rFonts w:hint="eastAsia" w:ascii="仿宋" w:hAnsi="仿宋" w:eastAsia="仿宋"/>
          <w:sz w:val="32"/>
          <w:szCs w:val="32"/>
        </w:rPr>
        <w:t>、推进塑料垃圾污染治理；</w:t>
      </w:r>
    </w:p>
    <w:p w14:paraId="2455C496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28</w:t>
      </w:r>
      <w:r>
        <w:rPr>
          <w:rFonts w:hint="eastAsia" w:ascii="仿宋" w:hAnsi="仿宋" w:eastAsia="仿宋"/>
          <w:sz w:val="32"/>
          <w:szCs w:val="32"/>
        </w:rPr>
        <w:t>、建立生态产品价值实现机制，完善流域生态保护补偿制度；</w:t>
      </w:r>
    </w:p>
    <w:p w14:paraId="09636D5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</w:t>
      </w:r>
      <w:r>
        <w:rPr>
          <w:rFonts w:ascii="仿宋" w:hAnsi="仿宋" w:eastAsia="仿宋"/>
          <w:sz w:val="32"/>
          <w:szCs w:val="32"/>
        </w:rPr>
        <w:t>9</w:t>
      </w:r>
      <w:r>
        <w:rPr>
          <w:rFonts w:hint="eastAsia" w:ascii="仿宋" w:hAnsi="仿宋" w:eastAsia="仿宋"/>
          <w:sz w:val="32"/>
          <w:szCs w:val="32"/>
        </w:rPr>
        <w:t>、现代水网建设协同推进生态保护与经济发展机制</w:t>
      </w:r>
    </w:p>
    <w:p w14:paraId="4667251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30</w:t>
      </w:r>
      <w:r>
        <w:rPr>
          <w:rFonts w:hint="eastAsia" w:ascii="仿宋" w:hAnsi="仿宋" w:eastAsia="仿宋"/>
          <w:sz w:val="32"/>
          <w:szCs w:val="32"/>
        </w:rPr>
        <w:t>、加快完善水旱灾害防御体系，确保全省水安全；</w:t>
      </w:r>
    </w:p>
    <w:p w14:paraId="7E076FF8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31</w:t>
      </w:r>
      <w:r>
        <w:rPr>
          <w:rFonts w:hint="eastAsia" w:ascii="仿宋" w:hAnsi="仿宋" w:eastAsia="仿宋"/>
          <w:sz w:val="32"/>
          <w:szCs w:val="32"/>
        </w:rPr>
        <w:t>、推进水利工程数字孪生体建设，全面提升水利工程建设和管理智慧化水平；</w:t>
      </w:r>
    </w:p>
    <w:p w14:paraId="7E5F8443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六、经济发展和产业升级</w:t>
      </w:r>
    </w:p>
    <w:p w14:paraId="3161F241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32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推动产业绿色低碳转型发展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15978175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33</w:t>
      </w:r>
      <w:r>
        <w:rPr>
          <w:rFonts w:hint="eastAsia" w:ascii="仿宋" w:hAnsi="仿宋" w:eastAsia="仿宋"/>
          <w:sz w:val="32"/>
          <w:szCs w:val="32"/>
        </w:rPr>
        <w:t>、推动碳排放总量和强度“双控”，建设更加有效的碳市场；</w:t>
      </w:r>
    </w:p>
    <w:p w14:paraId="704E10CF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34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提高招商引资质效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7DE7D4F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35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以更大力度吸引利用外资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41E162F1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36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培育国资国企的长远眼光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7E9D8A58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37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健全完善政府守信践诺的体制机制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7CD14727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38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为民营企业营造公平竞争环境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03A3A6AC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39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落实好亲清政商关系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383DBF92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40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完善</w:t>
      </w:r>
      <w:r>
        <w:rPr>
          <w:rFonts w:hint="eastAsia" w:ascii="仿宋" w:hAnsi="仿宋" w:eastAsia="仿宋"/>
          <w:sz w:val="32"/>
          <w:szCs w:val="32"/>
        </w:rPr>
        <w:t>领导干部</w:t>
      </w:r>
      <w:r>
        <w:rPr>
          <w:rFonts w:ascii="仿宋" w:hAnsi="仿宋" w:eastAsia="仿宋"/>
          <w:sz w:val="32"/>
          <w:szCs w:val="32"/>
        </w:rPr>
        <w:t>联系服务企业制度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33EB0886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41</w:t>
      </w:r>
      <w:r>
        <w:rPr>
          <w:rFonts w:hint="eastAsia" w:ascii="仿宋" w:hAnsi="仿宋" w:eastAsia="仿宋"/>
          <w:sz w:val="32"/>
          <w:szCs w:val="32"/>
        </w:rPr>
        <w:t>、推动园区管理的市场化、专业化发展；</w:t>
      </w:r>
    </w:p>
    <w:p w14:paraId="5AB2D744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42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避免园区产业同质化竞争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19F93CB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43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优化园区考核评价奖惩和激励机制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099A4F36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44</w:t>
      </w:r>
      <w:r>
        <w:rPr>
          <w:rFonts w:hint="eastAsia" w:ascii="仿宋" w:hAnsi="仿宋" w:eastAsia="仿宋"/>
          <w:sz w:val="32"/>
          <w:szCs w:val="32"/>
        </w:rPr>
        <w:t>、推动我省“一核两副三带四区”区域发展格局落到实处；</w:t>
      </w:r>
    </w:p>
    <w:p w14:paraId="7FDD7639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45</w:t>
      </w:r>
      <w:r>
        <w:rPr>
          <w:rFonts w:hint="eastAsia" w:ascii="仿宋" w:hAnsi="仿宋" w:eastAsia="仿宋"/>
          <w:sz w:val="32"/>
          <w:szCs w:val="32"/>
        </w:rPr>
        <w:t>、加快数据确权，促进数字经济更快发展；</w:t>
      </w:r>
    </w:p>
    <w:p w14:paraId="6E0D5DF8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46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促进现代化产业体系与区域协调发展体系协同联动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11DAD747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七、保障和改善民生</w:t>
      </w:r>
    </w:p>
    <w:p w14:paraId="13816CBA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47</w:t>
      </w:r>
      <w:r>
        <w:rPr>
          <w:rFonts w:hint="eastAsia" w:ascii="仿宋" w:hAnsi="仿宋" w:eastAsia="仿宋"/>
          <w:sz w:val="32"/>
          <w:szCs w:val="32"/>
        </w:rPr>
        <w:t>、如何增加城乡居民收入特别是脱贫地区居民收入；</w:t>
      </w:r>
    </w:p>
    <w:p w14:paraId="6734DC4E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48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加强城市安全运行管理、提升本质安全水平</w:t>
      </w:r>
      <w:r>
        <w:rPr>
          <w:rFonts w:hint="eastAsia" w:ascii="仿宋" w:hAnsi="仿宋" w:eastAsia="仿宋"/>
          <w:sz w:val="32"/>
          <w:szCs w:val="32"/>
        </w:rPr>
        <w:t>；</w:t>
      </w:r>
    </w:p>
    <w:p w14:paraId="71F49A23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49</w:t>
      </w:r>
      <w:r>
        <w:rPr>
          <w:rFonts w:hint="eastAsia" w:ascii="仿宋" w:hAnsi="仿宋" w:eastAsia="仿宋"/>
          <w:sz w:val="32"/>
          <w:szCs w:val="32"/>
        </w:rPr>
        <w:t>、促进银发产业高质量发展，提高老年人福祉；</w:t>
      </w:r>
    </w:p>
    <w:p w14:paraId="0EC313DB"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50</w:t>
      </w:r>
      <w:r>
        <w:rPr>
          <w:rFonts w:hint="eastAsia" w:ascii="仿宋" w:hAnsi="仿宋" w:eastAsia="仿宋"/>
          <w:sz w:val="32"/>
          <w:szCs w:val="32"/>
        </w:rPr>
        <w:t>、完善促进创业带动就业的保障制度，支持和规范发展新就业形态。</w:t>
      </w:r>
    </w:p>
    <w:p w14:paraId="3F6660F7">
      <w:pPr>
        <w:widowControl/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5E20A04-B9F4-49B2-9DDE-99EC363E32C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0FFD748E-2E6A-4CF0-9A73-716A5C822E0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294DDFC6-B06A-46BD-9D68-67814268E1A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FE2B05A-1A83-4EFC-A25F-F93D6EF95548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13005465"/>
      <w:docPartObj>
        <w:docPartGallery w:val="AutoText"/>
      </w:docPartObj>
    </w:sdtPr>
    <w:sdtEndPr>
      <w:rPr>
        <w:rFonts w:ascii="Times New Roman" w:hAnsi="Times New Roman"/>
        <w:sz w:val="24"/>
        <w:szCs w:val="24"/>
      </w:rPr>
    </w:sdtEndPr>
    <w:sdtContent>
      <w:p w14:paraId="21DD995F">
        <w:pPr>
          <w:pStyle w:val="3"/>
          <w:jc w:val="right"/>
          <w:rPr>
            <w:rFonts w:ascii="Times New Roman" w:hAnsi="Times New Roman"/>
            <w:sz w:val="24"/>
            <w:szCs w:val="24"/>
          </w:rPr>
        </w:pPr>
        <w:r>
          <w:rPr>
            <w:rFonts w:hint="eastAsia"/>
          </w:rPr>
          <w:t xml:space="preserve">— </w:t>
        </w:r>
        <w:r>
          <w:rPr>
            <w:rFonts w:ascii="Times New Roman" w:hAnsi="Times New Roman"/>
            <w:sz w:val="24"/>
            <w:szCs w:val="24"/>
          </w:rPr>
          <w:fldChar w:fldCharType="begin"/>
        </w:r>
        <w:r>
          <w:rPr>
            <w:rFonts w:ascii="Times New Roman" w:hAnsi="Times New Roman"/>
            <w:sz w:val="24"/>
            <w:szCs w:val="24"/>
          </w:rPr>
          <w:instrText xml:space="preserve">PAGE   \* MERGEFORMAT</w:instrText>
        </w:r>
        <w:r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sz w:val="24"/>
            <w:szCs w:val="24"/>
            <w:lang w:val="zh-CN"/>
          </w:rPr>
          <w:t>2</w:t>
        </w:r>
        <w:r>
          <w:rPr>
            <w:rFonts w:ascii="Times New Roman" w:hAnsi="Times New Roman"/>
            <w:sz w:val="24"/>
            <w:szCs w:val="24"/>
          </w:rPr>
          <w:fldChar w:fldCharType="end"/>
        </w:r>
        <w:r>
          <w:rPr>
            <w:rFonts w:ascii="Times New Roman" w:hAnsi="Times New Roman"/>
            <w:sz w:val="24"/>
            <w:szCs w:val="24"/>
          </w:rPr>
          <w:t xml:space="preserve"> </w:t>
        </w:r>
        <w:r>
          <w:rPr>
            <w:rFonts w:hint="eastAsia"/>
          </w:rPr>
          <w:t>—</w:t>
        </w:r>
      </w:p>
    </w:sdtContent>
  </w:sdt>
  <w:p w14:paraId="51FF3B4F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c1NjQ5YjEwYWUwNjkwMTk2OTIyYTZmZjJhOTZlNDMifQ=="/>
  </w:docVars>
  <w:rsids>
    <w:rsidRoot w:val="00372611"/>
    <w:rsid w:val="00040AC6"/>
    <w:rsid w:val="00104AE5"/>
    <w:rsid w:val="00162E14"/>
    <w:rsid w:val="00315C9C"/>
    <w:rsid w:val="00372611"/>
    <w:rsid w:val="0049760F"/>
    <w:rsid w:val="0053030D"/>
    <w:rsid w:val="0068547E"/>
    <w:rsid w:val="006E46FF"/>
    <w:rsid w:val="00862E81"/>
    <w:rsid w:val="00915D3D"/>
    <w:rsid w:val="00B64E2C"/>
    <w:rsid w:val="00BB0D37"/>
    <w:rsid w:val="00CD141F"/>
    <w:rsid w:val="00CF5D87"/>
    <w:rsid w:val="00D72526"/>
    <w:rsid w:val="00F67EA1"/>
    <w:rsid w:val="00FC0337"/>
    <w:rsid w:val="0DA93766"/>
    <w:rsid w:val="7705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0"/>
    <w:pPr>
      <w:spacing w:line="560" w:lineRule="atLeast"/>
      <w:ind w:firstLine="420" w:firstLineChars="200"/>
    </w:pPr>
    <w:rPr>
      <w:rFonts w:ascii="仿宋_GB2312" w:hAnsi="Times New Roman" w:eastAsia="仿宋_GB2312"/>
      <w:szCs w:val="20"/>
    </w:rPr>
  </w:style>
  <w:style w:type="paragraph" w:styleId="3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rFonts w:ascii="Calibri" w:hAnsi="Calibri" w:eastAsia="宋体" w:cs="Times New Roman"/>
      <w:color w:val="0000FF"/>
      <w:u w:val="single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0">
    <w:name w:val="正文文本缩进 字符"/>
    <w:basedOn w:val="6"/>
    <w:link w:val="2"/>
    <w:qFormat/>
    <w:uiPriority w:val="0"/>
    <w:rPr>
      <w:rFonts w:ascii="仿宋_GB2312" w:hAnsi="Times New Roman" w:eastAsia="仿宋_GB2312" w:cs="Times New Roman"/>
      <w:szCs w:val="20"/>
    </w:rPr>
  </w:style>
  <w:style w:type="character" w:customStyle="1" w:styleId="11">
    <w:name w:val="页眉 字符"/>
    <w:basedOn w:val="6"/>
    <w:link w:val="4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2">
    <w:name w:val="页脚 字符"/>
    <w:basedOn w:val="6"/>
    <w:link w:val="3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2704</Words>
  <Characters>2829</Characters>
  <Lines>24</Lines>
  <Paragraphs>6</Paragraphs>
  <TotalTime>135</TotalTime>
  <ScaleCrop>false</ScaleCrop>
  <LinksUpToDate>false</LinksUpToDate>
  <CharactersWithSpaces>3075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2024-02-28T07:41:00Z</dcterms:created>
  <dc:creator>理科 汪</dc:creator>
  <cp:lastModifiedBy>王世豪</cp:lastModifiedBy>
  <cp:lastPrinted>2024-03-04T00:54:00Z</cp:lastPrinted>
  <dcterms:modified xsi:type="dcterms:W3CDTF">2024-12-04T02:05:51Z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151CF9A60B4B40A2970A1CEE9982BD74_12</vt:lpwstr>
  </property>
</Properties>
</file>